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EC3453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EC345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1pt;height:107.3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</w:t>
      </w:r>
      <w:r w:rsidR="00146F6A">
        <w:rPr>
          <w:b/>
          <w:color w:val="000000"/>
          <w:sz w:val="28"/>
          <w:szCs w:val="28"/>
        </w:rPr>
        <w:t>финансов Чеченской Республики</w:t>
      </w:r>
      <w:r w:rsidRPr="00C65016">
        <w:rPr>
          <w:b/>
          <w:color w:val="000000"/>
          <w:sz w:val="28"/>
          <w:szCs w:val="28"/>
        </w:rPr>
        <w:t>, планирующему увольнение с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46F6A" w:rsidRDefault="00146F6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46F6A" w:rsidRDefault="00146F6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146F6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Грозный</w:t>
      </w:r>
      <w:r w:rsidR="002E07B5" w:rsidRPr="00C65016">
        <w:rPr>
          <w:b/>
          <w:color w:val="000000"/>
          <w:sz w:val="28"/>
          <w:szCs w:val="28"/>
        </w:rPr>
        <w:t>, 201</w:t>
      </w:r>
      <w:r>
        <w:rPr>
          <w:b/>
          <w:color w:val="000000"/>
          <w:sz w:val="28"/>
          <w:szCs w:val="28"/>
        </w:rPr>
        <w:t>6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874B64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EC3453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EC3453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EC3453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EC3453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EC3453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EC3453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99056A" w:rsidRPr="00C65016" w:rsidRDefault="004C444E" w:rsidP="0014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49EB">
        <w:t>г) стоимость работ (услуг) по гражданско-правовому договору.</w:t>
      </w:r>
    </w:p>
    <w:sectPr w:rsidR="0099056A" w:rsidRPr="00C65016" w:rsidSect="00470C7E">
      <w:headerReference w:type="even" r:id="rId27"/>
      <w:headerReference w:type="default" r:id="rId28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F5" w:rsidRDefault="001D09F5">
      <w:r>
        <w:separator/>
      </w:r>
    </w:p>
  </w:endnote>
  <w:endnote w:type="continuationSeparator" w:id="1">
    <w:p w:rsidR="001D09F5" w:rsidRDefault="001D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F5" w:rsidRDefault="001D09F5">
      <w:r>
        <w:separator/>
      </w:r>
    </w:p>
  </w:footnote>
  <w:footnote w:type="continuationSeparator" w:id="1">
    <w:p w:rsidR="001D09F5" w:rsidRDefault="001D0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EC3453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EC3453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6A5597">
      <w:rPr>
        <w:rStyle w:val="a5"/>
        <w:noProof/>
        <w:sz w:val="22"/>
      </w:rPr>
      <w:t>7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46F6A"/>
    <w:rsid w:val="00151A68"/>
    <w:rsid w:val="00164707"/>
    <w:rsid w:val="001855E0"/>
    <w:rsid w:val="0019255B"/>
    <w:rsid w:val="00194494"/>
    <w:rsid w:val="001A10A2"/>
    <w:rsid w:val="001A1EC6"/>
    <w:rsid w:val="001A7824"/>
    <w:rsid w:val="001C340F"/>
    <w:rsid w:val="001D09F5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A5597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36216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3453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19847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44</cp:lastModifiedBy>
  <cp:revision>8</cp:revision>
  <cp:lastPrinted>2013-10-21T11:08:00Z</cp:lastPrinted>
  <dcterms:created xsi:type="dcterms:W3CDTF">2015-03-17T05:56:00Z</dcterms:created>
  <dcterms:modified xsi:type="dcterms:W3CDTF">2016-06-21T06:44:00Z</dcterms:modified>
</cp:coreProperties>
</file>